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04" w:rsidRDefault="00563004" w:rsidP="002D6A4A">
      <w:pPr>
        <w:pStyle w:val="ConsPlusNormal"/>
        <w:jc w:val="center"/>
      </w:pPr>
      <w:r>
        <w:t>Информация</w:t>
      </w:r>
    </w:p>
    <w:p w:rsidR="00563004" w:rsidRDefault="00563004" w:rsidP="00563004">
      <w:pPr>
        <w:pStyle w:val="ConsPlusNormal"/>
        <w:jc w:val="center"/>
      </w:pPr>
      <w:bookmarkStart w:id="0" w:name="_GoBack"/>
      <w:r>
        <w:t>об основных потребительских характеристиках товаров,</w:t>
      </w:r>
    </w:p>
    <w:bookmarkEnd w:id="0"/>
    <w:p w:rsidR="00563004" w:rsidRDefault="00563004" w:rsidP="00563004">
      <w:pPr>
        <w:pStyle w:val="ConsPlusNormal"/>
        <w:jc w:val="center"/>
      </w:pPr>
      <w:r>
        <w:t>услуг регулируемой организации, цены (тарифы) в сфере</w:t>
      </w:r>
    </w:p>
    <w:p w:rsidR="00563004" w:rsidRDefault="00563004" w:rsidP="00563004">
      <w:pPr>
        <w:pStyle w:val="ConsPlusNormal"/>
        <w:jc w:val="center"/>
      </w:pPr>
      <w:proofErr w:type="gramStart"/>
      <w:r>
        <w:t>теплоснабжения</w:t>
      </w:r>
      <w:proofErr w:type="gramEnd"/>
      <w:r>
        <w:t xml:space="preserve"> на которые подлежат регулированию,</w:t>
      </w:r>
    </w:p>
    <w:p w:rsidR="00563004" w:rsidRDefault="00563004" w:rsidP="00563004">
      <w:pPr>
        <w:pStyle w:val="ConsPlusNormal"/>
        <w:jc w:val="center"/>
      </w:pPr>
      <w:r>
        <w:t>об основных потребительских характеристиках товаров</w:t>
      </w:r>
    </w:p>
    <w:p w:rsidR="00563004" w:rsidRDefault="00563004" w:rsidP="00563004">
      <w:pPr>
        <w:pStyle w:val="ConsPlusNormal"/>
        <w:jc w:val="center"/>
      </w:pPr>
      <w:r>
        <w:t>(услуг), поставляемых (оказываемых) единой теплоснабжающей</w:t>
      </w:r>
    </w:p>
    <w:p w:rsidR="00563004" w:rsidRDefault="00563004" w:rsidP="00563004">
      <w:pPr>
        <w:pStyle w:val="ConsPlusNormal"/>
        <w:jc w:val="center"/>
      </w:pPr>
      <w:r>
        <w:t xml:space="preserve">организацией в ценовых зонах теплоснабжения, </w:t>
      </w:r>
      <w:proofErr w:type="gramStart"/>
      <w:r>
        <w:t>об</w:t>
      </w:r>
      <w:proofErr w:type="gramEnd"/>
      <w:r>
        <w:t xml:space="preserve"> основных</w:t>
      </w:r>
    </w:p>
    <w:p w:rsidR="00563004" w:rsidRDefault="00563004" w:rsidP="00563004">
      <w:pPr>
        <w:pStyle w:val="ConsPlusNormal"/>
        <w:jc w:val="center"/>
      </w:pPr>
      <w:r>
        <w:t xml:space="preserve">потребительских </w:t>
      </w:r>
      <w:proofErr w:type="gramStart"/>
      <w:r>
        <w:t>характеристиках</w:t>
      </w:r>
      <w:proofErr w:type="gramEnd"/>
      <w:r>
        <w:t xml:space="preserve"> товаров (услуг),</w:t>
      </w:r>
    </w:p>
    <w:p w:rsidR="00563004" w:rsidRDefault="00563004" w:rsidP="00563004">
      <w:pPr>
        <w:pStyle w:val="ConsPlusNormal"/>
        <w:jc w:val="center"/>
      </w:pPr>
      <w:proofErr w:type="gramStart"/>
      <w:r>
        <w:t>поставляемых</w:t>
      </w:r>
      <w:proofErr w:type="gramEnd"/>
      <w:r>
        <w:t xml:space="preserve"> (оказываемых) теплоснабжающей организацией</w:t>
      </w:r>
    </w:p>
    <w:p w:rsidR="00563004" w:rsidRDefault="00563004" w:rsidP="00563004">
      <w:pPr>
        <w:pStyle w:val="ConsPlusNormal"/>
        <w:jc w:val="center"/>
      </w:pPr>
      <w:r>
        <w:t xml:space="preserve">в ценовых зонах теплоснабжения и </w:t>
      </w:r>
      <w:proofErr w:type="spellStart"/>
      <w:r>
        <w:t>теплосетевой</w:t>
      </w:r>
      <w:proofErr w:type="spellEnd"/>
      <w:r>
        <w:t xml:space="preserve"> организацией</w:t>
      </w:r>
    </w:p>
    <w:p w:rsidR="00563004" w:rsidRDefault="00563004" w:rsidP="00563004">
      <w:pPr>
        <w:pStyle w:val="ConsPlusNormal"/>
        <w:jc w:val="center"/>
      </w:pPr>
      <w:r>
        <w:t>в ценовых зонах теплоснабжения</w:t>
      </w:r>
    </w:p>
    <w:p w:rsidR="00563004" w:rsidRDefault="00563004" w:rsidP="0056300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5296"/>
        <w:gridCol w:w="1239"/>
        <w:gridCol w:w="1454"/>
        <w:gridCol w:w="1134"/>
      </w:tblGrid>
      <w:tr w:rsidR="002D6A4A" w:rsidTr="002D6A4A">
        <w:tc>
          <w:tcPr>
            <w:tcW w:w="9843" w:type="dxa"/>
            <w:gridSpan w:val="5"/>
          </w:tcPr>
          <w:p w:rsidR="002D6A4A" w:rsidRDefault="002D6A4A" w:rsidP="00A304A7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2D6A4A" w:rsidTr="002D6A4A">
        <w:tc>
          <w:tcPr>
            <w:tcW w:w="720" w:type="dxa"/>
          </w:tcPr>
          <w:p w:rsidR="002D6A4A" w:rsidRDefault="002D6A4A" w:rsidP="00A304A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96" w:type="dxa"/>
          </w:tcPr>
          <w:p w:rsidR="002D6A4A" w:rsidRDefault="002D6A4A" w:rsidP="00A304A7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1239" w:type="dxa"/>
          </w:tcPr>
          <w:p w:rsidR="002D6A4A" w:rsidRDefault="002D6A4A" w:rsidP="00A304A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54" w:type="dxa"/>
          </w:tcPr>
          <w:p w:rsidR="002D6A4A" w:rsidRDefault="002D6A4A" w:rsidP="00A304A7">
            <w:pPr>
              <w:pStyle w:val="ConsPlusNormal"/>
              <w:jc w:val="center"/>
            </w:pPr>
            <w:bookmarkStart w:id="1" w:name="P1332"/>
            <w:bookmarkEnd w:id="1"/>
            <w:r>
              <w:t>Информация</w:t>
            </w:r>
          </w:p>
        </w:tc>
        <w:tc>
          <w:tcPr>
            <w:tcW w:w="1134" w:type="dxa"/>
          </w:tcPr>
          <w:p w:rsidR="002D6A4A" w:rsidRDefault="002D6A4A" w:rsidP="00A304A7">
            <w:pPr>
              <w:pStyle w:val="ConsPlusNormal"/>
              <w:jc w:val="center"/>
            </w:pPr>
            <w:bookmarkStart w:id="2" w:name="P1333"/>
            <w:bookmarkEnd w:id="2"/>
            <w:r>
              <w:t>Ссылка на документ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Количество аварий на тепловых сетях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 xml:space="preserve">ед. на </w:t>
            </w:r>
            <w:proofErr w:type="gramStart"/>
            <w:r>
              <w:t>км</w:t>
            </w:r>
            <w:proofErr w:type="gramEnd"/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Количество аварий на источниках тепловой энергии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ед. на источник</w:t>
            </w: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Несоблюдение значений параметров качества теплоснабжения и (или) параметров, отражающих допустимые перерывы в теплоснабжении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rPr>
          <w:trHeight w:val="269"/>
        </w:trPr>
        <w:tc>
          <w:tcPr>
            <w:tcW w:w="720" w:type="dxa"/>
            <w:vMerge w:val="restart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296" w:type="dxa"/>
            <w:vMerge w:val="restart"/>
            <w:vAlign w:val="center"/>
          </w:tcPr>
          <w:p w:rsidR="002D6A4A" w:rsidRDefault="002D6A4A" w:rsidP="00A304A7">
            <w:pPr>
              <w:pStyle w:val="ConsPlusNormal"/>
            </w:pPr>
            <w:r>
              <w:t>Показатели надежности и энергетической эффективности, установленные в соответствии с законодательством Российской Федерации</w:t>
            </w:r>
          </w:p>
        </w:tc>
        <w:tc>
          <w:tcPr>
            <w:tcW w:w="1239" w:type="dxa"/>
            <w:vMerge w:val="restart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54" w:type="dxa"/>
            <w:vMerge w:val="restart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Не утверждены</w:t>
            </w:r>
          </w:p>
        </w:tc>
        <w:tc>
          <w:tcPr>
            <w:tcW w:w="1134" w:type="dxa"/>
            <w:vMerge w:val="restart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rPr>
          <w:trHeight w:val="269"/>
        </w:trPr>
        <w:tc>
          <w:tcPr>
            <w:tcW w:w="720" w:type="dxa"/>
            <w:vMerge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5296" w:type="dxa"/>
            <w:vMerge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239" w:type="dxa"/>
            <w:vMerge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Merge/>
          </w:tcPr>
          <w:p w:rsidR="002D6A4A" w:rsidRDefault="002D6A4A" w:rsidP="002D6A4A">
            <w:pPr>
              <w:pStyle w:val="ConsPlusNormal"/>
              <w:jc w:val="center"/>
            </w:pPr>
          </w:p>
        </w:tc>
        <w:tc>
          <w:tcPr>
            <w:tcW w:w="1134" w:type="dxa"/>
            <w:vMerge/>
          </w:tcPr>
          <w:p w:rsidR="002D6A4A" w:rsidRDefault="002D6A4A" w:rsidP="002D6A4A">
            <w:pPr>
              <w:pStyle w:val="ConsPlusNormal"/>
              <w:jc w:val="center"/>
            </w:pP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плановые показатели надежности объектов теплоснабжения: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4.1.2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плановые показатели энергетической: эффективности объектов теплоснабжения: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4.2.1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4.2.2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4.2.3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296" w:type="dxa"/>
          </w:tcPr>
          <w:p w:rsidR="002D6A4A" w:rsidRDefault="002D6A4A" w:rsidP="00A304A7">
            <w:pPr>
              <w:pStyle w:val="ConsPlusNormal"/>
            </w:pPr>
            <w:r>
              <w:t>Доля исполненных в срок договоров о подключении (технологическом присоединении) к системе теплоснабжения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 xml:space="preserve">Средняя продолжительность рассмотрения заявок на </w:t>
            </w:r>
            <w:r>
              <w:lastRenderedPageBreak/>
              <w:t>заключение договоров о подключении (технологическом присоединении) к системе теплоснабжения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proofErr w:type="spellStart"/>
            <w:r>
              <w:lastRenderedPageBreak/>
              <w:t>дн</w:t>
            </w:r>
            <w:proofErr w:type="spellEnd"/>
            <w:r>
              <w:t>.</w:t>
            </w: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Вывод источников тепловой энергии и тепловых сетей из эксплуатации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 xml:space="preserve">Основания ограничения и прекращения подачи тепловой энергии потребителям в случаях, предусмотренных </w:t>
            </w:r>
            <w:hyperlink r:id="rId5">
              <w:r>
                <w:rPr>
                  <w:color w:val="0000FF"/>
                </w:rPr>
                <w:t>пунктом 76</w:t>
              </w:r>
            </w:hyperlink>
            <w:r>
              <w:t xml:space="preserve"> Правил организации теплоснабжения в Российской Федерации, утвержденных постановлением Правительства Российской Федерации от 8 августа 2012 г. N 808, в том числе: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proofErr w:type="gramStart"/>
            <w:r>
              <w:t>неисполнение или ненадлежащее исполнение потребителем обязательств по оплате тепловой энергии (мощности) и (или) теплоносителя, в том числе обязательств по их предварительной оплате, если такое условие предусмотрено договором, а также нарушение условий договора о количестве, качестве и значениях термодинамических параметров возвращаемого теплоносителя и (или) нарушения режима потребления тепловой энергии, существенно влияющих на теплоснабжение других потребителей в данной системе теплоснабжения, а также</w:t>
            </w:r>
            <w:proofErr w:type="gramEnd"/>
            <w:r>
              <w:t xml:space="preserve"> в случае несоблюдения установленных техническими регламентами обязательных требований безопасной эксплуатации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прекращение обязатель</w:t>
            </w:r>
            <w:proofErr w:type="gramStart"/>
            <w:r>
              <w:t>ств ст</w:t>
            </w:r>
            <w:proofErr w:type="gramEnd"/>
            <w:r>
              <w:t>орон по договору теплоснабжения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выявление фактов бездоговорного потребления тепловой энергии (мощности) и (или) теплоносителя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возникновение (угроза возникновения) аварийных ситуаций в системе теплоснабжения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наличие обращения потребителя о введении ограничения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  <w:tr w:rsidR="002D6A4A" w:rsidTr="002D6A4A">
        <w:tc>
          <w:tcPr>
            <w:tcW w:w="720" w:type="dxa"/>
            <w:vAlign w:val="center"/>
          </w:tcPr>
          <w:p w:rsidR="002D6A4A" w:rsidRDefault="002D6A4A" w:rsidP="00A304A7">
            <w:pPr>
              <w:pStyle w:val="ConsPlusNormal"/>
              <w:jc w:val="center"/>
            </w:pPr>
            <w:r>
              <w:t>8.6</w:t>
            </w:r>
          </w:p>
        </w:tc>
        <w:tc>
          <w:tcPr>
            <w:tcW w:w="5296" w:type="dxa"/>
            <w:vAlign w:val="center"/>
          </w:tcPr>
          <w:p w:rsidR="002D6A4A" w:rsidRDefault="002D6A4A" w:rsidP="00A304A7">
            <w:pPr>
              <w:pStyle w:val="ConsPlusNormal"/>
            </w:pPr>
            <w:r>
              <w:t>иные случаи, предусмотренные нормативными правовыми актами Российской Федерации или договором теплоснабжения</w:t>
            </w:r>
          </w:p>
        </w:tc>
        <w:tc>
          <w:tcPr>
            <w:tcW w:w="1239" w:type="dxa"/>
            <w:vAlign w:val="center"/>
          </w:tcPr>
          <w:p w:rsidR="002D6A4A" w:rsidRDefault="002D6A4A" w:rsidP="00A304A7">
            <w:pPr>
              <w:pStyle w:val="ConsPlusNormal"/>
            </w:pPr>
          </w:p>
        </w:tc>
        <w:tc>
          <w:tcPr>
            <w:tcW w:w="145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D6A4A" w:rsidRDefault="002D6A4A" w:rsidP="002D6A4A">
            <w:pPr>
              <w:pStyle w:val="ConsPlusNormal"/>
              <w:jc w:val="center"/>
            </w:pPr>
            <w:r>
              <w:t>-</w:t>
            </w:r>
          </w:p>
        </w:tc>
      </w:tr>
    </w:tbl>
    <w:p w:rsidR="00563004" w:rsidRDefault="00563004" w:rsidP="00563004">
      <w:pPr>
        <w:pStyle w:val="ConsPlusNormal"/>
        <w:jc w:val="both"/>
      </w:pPr>
    </w:p>
    <w:p w:rsidR="00563004" w:rsidRDefault="00563004" w:rsidP="00563004">
      <w:pPr>
        <w:pStyle w:val="ConsPlusNormal"/>
        <w:jc w:val="both"/>
      </w:pPr>
    </w:p>
    <w:p w:rsidR="00563004" w:rsidRDefault="00563004" w:rsidP="00563004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004"/>
    <w:rsid w:val="002D6A4A"/>
    <w:rsid w:val="0047378A"/>
    <w:rsid w:val="00563004"/>
    <w:rsid w:val="00CC168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0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2908D5CF9EFB85EF48577B50BA26927DAEA0B34462FA26B96230005B5867086887A5EDA4F932CD1871DD37FF9656A3F9356FFC5C000DC38PF2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cp:lastPrinted>2024-04-26T08:49:00Z</cp:lastPrinted>
  <dcterms:created xsi:type="dcterms:W3CDTF">2024-04-26T03:46:00Z</dcterms:created>
  <dcterms:modified xsi:type="dcterms:W3CDTF">2024-04-26T09:18:00Z</dcterms:modified>
</cp:coreProperties>
</file>